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04" w:rsidRPr="007F1C04" w:rsidRDefault="007F1C04" w:rsidP="007F1C0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>Dorothee</w:t>
      </w:r>
      <w:proofErr w:type="spellEnd"/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>Hodapp</w:t>
      </w:r>
      <w:proofErr w:type="spellEnd"/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Helmut </w:t>
      </w:r>
      <w:proofErr w:type="spellStart"/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>Hillebrand</w:t>
      </w:r>
      <w:proofErr w:type="spellEnd"/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Bernd Blasius, Alexey B. Ryabov. </w:t>
      </w:r>
      <w:r w:rsidR="00194BF6">
        <w:rPr>
          <w:rFonts w:ascii="Times New Roman" w:eastAsia="Times New Roman" w:hAnsi="Times New Roman" w:cs="Times New Roman"/>
          <w:b/>
          <w:bCs/>
          <w:sz w:val="27"/>
          <w:szCs w:val="27"/>
        </w:rPr>
        <w:t>2016</w:t>
      </w:r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Environmental and trait variability constrain community structure and the biodiversity productivity relationship. </w:t>
      </w:r>
      <w:r w:rsidRPr="007F1C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Ecology</w:t>
      </w:r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94BF6">
        <w:rPr>
          <w:rFonts w:ascii="Times New Roman" w:eastAsia="Times New Roman" w:hAnsi="Times New Roman" w:cs="Times New Roman"/>
          <w:b/>
          <w:bCs/>
          <w:sz w:val="27"/>
          <w:szCs w:val="27"/>
        </w:rPr>
        <w:t>97:1463–1474</w:t>
      </w:r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7F1C04" w:rsidRPr="007F1C04" w:rsidRDefault="00194BF6" w:rsidP="007F1C04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rect id="_x0000_i1025" style="width:0;height:1.5pt" o:hralign="center" o:hrstd="t" o:hr="t" fillcolor="#aca899" stroked="f"/>
        </w:pict>
      </w:r>
    </w:p>
    <w:p w:rsidR="007F1C04" w:rsidRPr="007F1C04" w:rsidRDefault="007F1C04" w:rsidP="007F1C0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>Supplement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594E48">
        <w:rPr>
          <w:rFonts w:ascii="Times New Roman" w:eastAsia="Times New Roman" w:hAnsi="Times New Roman" w:cs="Times New Roman"/>
          <w:b/>
          <w:bCs/>
          <w:sz w:val="27"/>
          <w:szCs w:val="27"/>
        </w:rPr>
        <w:t>Appendix 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4F03FE" w:rsidRDefault="007F1C04" w:rsidP="009F4C2C">
      <w:pPr>
        <w:spacing w:before="100" w:beforeAutospacing="1" w:after="100" w:afterAutospacing="1" w:line="240" w:lineRule="auto"/>
        <w:ind w:left="720"/>
        <w:contextualSpacing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Supplementary figures</w:t>
      </w:r>
      <w:r w:rsidR="007609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S1</w:t>
      </w:r>
      <w:r w:rsidR="00194BF6"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="00760995">
        <w:rPr>
          <w:rFonts w:ascii="Times New Roman" w:eastAsia="Times New Roman" w:hAnsi="Times New Roman" w:cs="Times New Roman"/>
          <w:b/>
          <w:bCs/>
          <w:sz w:val="27"/>
          <w:szCs w:val="27"/>
        </w:rPr>
        <w:t>S9</w:t>
      </w:r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bookmarkStart w:id="0" w:name="_GoBack"/>
      <w:bookmarkEnd w:id="0"/>
      <w:r w:rsidRPr="007F1C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7F1C04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textWrapping" w:clear="all"/>
      </w:r>
      <w:r w:rsidR="0043249E">
        <w:rPr>
          <w:noProof/>
        </w:rPr>
        <w:drawing>
          <wp:inline distT="0" distB="0" distL="0" distR="0">
            <wp:extent cx="3517645" cy="58901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97" cy="58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A9" w:rsidRDefault="007E1B1D" w:rsidP="00940ABC">
      <w:r>
        <w:t>Fig</w:t>
      </w:r>
      <w:r w:rsidR="00B20DD4">
        <w:t>.</w:t>
      </w:r>
      <w:r>
        <w:t xml:space="preserve"> S</w:t>
      </w:r>
      <w:r w:rsidR="004F03FE">
        <w:t>1</w:t>
      </w:r>
      <w:r w:rsidR="00971B81">
        <w:t xml:space="preserve">: </w:t>
      </w:r>
      <w:r w:rsidR="00AE66D0">
        <w:t>Evenness</w:t>
      </w:r>
      <w:r w:rsidR="00D472EF">
        <w:t xml:space="preserve"> calculated as Pielou’s</w:t>
      </w:r>
      <w:r w:rsidR="000A7F75">
        <w:t xml:space="preserve"> evenness i</w:t>
      </w:r>
      <w:r w:rsidR="00D472EF">
        <w:t xml:space="preserve">ndex of final community composition for different combinations of trait and resource variability. </w:t>
      </w:r>
      <w:r w:rsidR="003B1063" w:rsidRPr="003B1063">
        <w:t>Line colors indicate the scenario of resource supply distribution (Gradients – blue, Random locations – red, Random supplies – green)</w:t>
      </w:r>
      <w:r w:rsidR="00D472EF" w:rsidRPr="004505D9">
        <w:t>.</w:t>
      </w:r>
    </w:p>
    <w:p w:rsidR="009F67A9" w:rsidRDefault="009F67A9">
      <w:r>
        <w:br w:type="page"/>
      </w:r>
    </w:p>
    <w:p w:rsidR="00BF7373" w:rsidRDefault="00BF7373">
      <w:r>
        <w:rPr>
          <w:noProof/>
        </w:rPr>
        <w:lastRenderedPageBreak/>
        <w:drawing>
          <wp:inline distT="0" distB="0" distL="0" distR="0">
            <wp:extent cx="5792019" cy="48213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" r="6360" b="3103"/>
                    <a:stretch/>
                  </pic:blipFill>
                  <pic:spPr bwMode="auto">
                    <a:xfrm>
                      <a:off x="0" y="0"/>
                      <a:ext cx="5794831" cy="48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373" w:rsidRDefault="00BF7373">
      <w:r>
        <w:t>Fig. S2</w:t>
      </w:r>
      <w:r w:rsidR="00E408A5">
        <w:t>: Average monoculture biomass</w:t>
      </w:r>
      <w:r w:rsidR="00E408A5" w:rsidRPr="004505D9">
        <w:t xml:space="preserve">, </w:t>
      </w:r>
      <w:r w:rsidR="00E408A5">
        <w:t>average biomass of 25 species mixtures and normalized biomass values (</w:t>
      </w:r>
      <w:r w:rsidR="00E408A5" w:rsidRPr="00E408A5">
        <w:t xml:space="preserve">ratio of the total biomass in mixture to the average monoculture </w:t>
      </w:r>
      <w:r w:rsidR="000A7F75">
        <w:t>biomass</w:t>
      </w:r>
      <w:r w:rsidR="00E408A5">
        <w:t>) produced by 25 species mixtures</w:t>
      </w:r>
      <w:r w:rsidR="00E408A5" w:rsidRPr="004505D9">
        <w:t xml:space="preserve"> obtained from different combinations of trait (</w:t>
      </w:r>
      <w:r w:rsidR="00E408A5" w:rsidRPr="004505D9">
        <w:sym w:font="Symbol" w:char="F044"/>
      </w:r>
      <w:r w:rsidR="00E408A5" w:rsidRPr="004505D9">
        <w:t>R*) and resource (</w:t>
      </w:r>
      <w:r w:rsidR="00E408A5" w:rsidRPr="004505D9">
        <w:sym w:font="Symbol" w:char="F044"/>
      </w:r>
      <w:r w:rsidR="00E408A5">
        <w:t>S</w:t>
      </w:r>
      <w:r w:rsidR="00E408A5" w:rsidRPr="004505D9">
        <w:t xml:space="preserve">) variability. </w:t>
      </w:r>
      <w:r w:rsidR="00DD5B1B" w:rsidRPr="00A00FC6">
        <w:t>Line colors indicate the scenario of resource supply distribution (Gradients – blue, Random locations – red, Random supplies – green)</w:t>
      </w:r>
      <w:r w:rsidR="00DD5B1B">
        <w:t>.</w:t>
      </w:r>
      <w:r>
        <w:br w:type="page"/>
      </w:r>
    </w:p>
    <w:p w:rsidR="00133787" w:rsidRDefault="00133787">
      <w:r>
        <w:rPr>
          <w:noProof/>
        </w:rPr>
        <w:lastRenderedPageBreak/>
        <w:drawing>
          <wp:inline distT="0" distB="0" distL="0" distR="0">
            <wp:extent cx="5538567" cy="67842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.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567" cy="678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FE" w:rsidRDefault="00283960" w:rsidP="004F03FE">
      <w:r>
        <w:t>Fig</w:t>
      </w:r>
      <w:r w:rsidR="00781DC7">
        <w:t>. S</w:t>
      </w:r>
      <w:r w:rsidR="00BF7373">
        <w:t>3</w:t>
      </w:r>
      <w:r w:rsidR="00E408A5">
        <w:t xml:space="preserve">: Monoculture biomass </w:t>
      </w:r>
      <w:r w:rsidR="00971B81">
        <w:t xml:space="preserve">for </w:t>
      </w:r>
      <w:r w:rsidR="00E408A5">
        <w:t xml:space="preserve">each species in the </w:t>
      </w:r>
      <w:r w:rsidR="00971B81">
        <w:t xml:space="preserve">30 </w:t>
      </w:r>
      <w:r w:rsidR="00E408A5">
        <w:t>species pool</w:t>
      </w:r>
      <w:r w:rsidR="00971B81">
        <w:t xml:space="preserve"> under different combinations of trait and resource variability (columns) as well as</w:t>
      </w:r>
      <w:r w:rsidR="00D472EF">
        <w:t xml:space="preserve"> level of heterogeneity in</w:t>
      </w:r>
      <w:r w:rsidR="00971B81">
        <w:t xml:space="preserve"> spatial resource distribution (rows).</w:t>
      </w:r>
      <w:r w:rsidR="00A67AD1">
        <w:t xml:space="preserve"> Presented biomass yields correspond to the following combinations of trait and resource variability: left column:  </w:t>
      </w:r>
      <w:r w:rsidR="00A67AD1" w:rsidRPr="004505D9">
        <w:sym w:font="Symbol" w:char="F044"/>
      </w:r>
      <w:r w:rsidR="00A67AD1">
        <w:t xml:space="preserve">S = 5 (low) and </w:t>
      </w:r>
      <w:r w:rsidR="00A67AD1" w:rsidRPr="004505D9">
        <w:sym w:font="Symbol" w:char="F044"/>
      </w:r>
      <w:r w:rsidR="00A67AD1" w:rsidRPr="004505D9">
        <w:t>R*</w:t>
      </w:r>
      <w:r w:rsidR="00A67AD1">
        <w:t xml:space="preserve">=9 (high), middle column: </w:t>
      </w:r>
      <w:r w:rsidR="00A67AD1" w:rsidRPr="004505D9">
        <w:sym w:font="Symbol" w:char="F044"/>
      </w:r>
      <w:r w:rsidR="00A67AD1">
        <w:t xml:space="preserve">S = 20 (intermediate) and </w:t>
      </w:r>
      <w:r w:rsidR="00A67AD1" w:rsidRPr="004505D9">
        <w:sym w:font="Symbol" w:char="F044"/>
      </w:r>
      <w:r w:rsidR="00A67AD1" w:rsidRPr="004505D9">
        <w:t>R*</w:t>
      </w:r>
      <w:r w:rsidR="00A67AD1">
        <w:t xml:space="preserve">=5 (intermediate), right column: </w:t>
      </w:r>
      <w:r w:rsidR="00A67AD1" w:rsidRPr="004505D9">
        <w:sym w:font="Symbol" w:char="F044"/>
      </w:r>
      <w:r w:rsidR="00A67AD1">
        <w:t xml:space="preserve">S = 39 (high) and </w:t>
      </w:r>
      <w:r w:rsidR="00A67AD1" w:rsidRPr="004505D9">
        <w:sym w:font="Symbol" w:char="F044"/>
      </w:r>
      <w:r w:rsidR="00A67AD1" w:rsidRPr="004505D9">
        <w:t>R*</w:t>
      </w:r>
      <w:r w:rsidR="00A67AD1">
        <w:t>=1 (low).</w:t>
      </w:r>
    </w:p>
    <w:p w:rsidR="00B878A3" w:rsidRDefault="00B878A3">
      <w:pPr>
        <w:rPr>
          <w:noProof/>
        </w:rPr>
      </w:pPr>
      <w:r>
        <w:br w:type="page"/>
      </w:r>
    </w:p>
    <w:p w:rsidR="00642CC6" w:rsidRDefault="00642CC6"/>
    <w:p w:rsidR="00642CC6" w:rsidRDefault="00642CC6">
      <w:r>
        <w:rPr>
          <w:noProof/>
        </w:rPr>
        <w:drawing>
          <wp:inline distT="0" distB="0" distL="0" distR="0">
            <wp:extent cx="4369362" cy="6706181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362" cy="67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2C" w:rsidRDefault="00E72B30">
      <w:r>
        <w:t>Fig. S4</w:t>
      </w:r>
      <w:r w:rsidR="00971B81">
        <w:t>: Biomass production of all species in the 30 species pool in monoculture (left column) and in 25-sp</w:t>
      </w:r>
      <w:r w:rsidR="00D472EF">
        <w:t>e</w:t>
      </w:r>
      <w:r w:rsidR="00971B81">
        <w:t>cies mixtures (right column) at a constant level of intermediate resource variability, but differing levels of trait variability.</w:t>
      </w:r>
      <w:r w:rsidR="00C0353E">
        <w:t xml:space="preserve"> Spatial resource distribution here:</w:t>
      </w:r>
      <w:r w:rsidR="00971B81">
        <w:t xml:space="preserve"> </w:t>
      </w:r>
      <w:r w:rsidR="00D472EF">
        <w:t>Random locations</w:t>
      </w:r>
      <w:r w:rsidR="00C0353E">
        <w:t>.</w:t>
      </w:r>
      <w:r w:rsidR="00D472EF">
        <w:t xml:space="preserve"> </w:t>
      </w:r>
    </w:p>
    <w:p w:rsidR="00D5602C" w:rsidRDefault="00D5602C">
      <w:r>
        <w:br w:type="page"/>
      </w:r>
    </w:p>
    <w:p w:rsidR="00D5602C" w:rsidRDefault="00D5602C">
      <w:r w:rsidRPr="00D5602C">
        <w:rPr>
          <w:noProof/>
        </w:rPr>
        <w:lastRenderedPageBreak/>
        <w:drawing>
          <wp:inline distT="0" distB="0" distL="0" distR="0">
            <wp:extent cx="5972810" cy="3185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42" w:rsidRDefault="00D5602C" w:rsidP="00D5602C">
      <w:r>
        <w:t xml:space="preserve">Fig. S5: </w:t>
      </w:r>
      <w:r w:rsidR="004024C5">
        <w:t>The net biomass increase</w:t>
      </w:r>
      <w:r w:rsidR="00900944" w:rsidRPr="00A00FC6">
        <w:rPr>
          <w:color w:val="000000" w:themeColor="text1"/>
        </w:rPr>
        <w:t>, complementarity and selection effects obtained for different combinations of trait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GB"/>
          </w:rPr>
          <m:t>Δ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*</m:t>
            </m:r>
          </m:sup>
        </m:sSup>
      </m:oMath>
      <w:r w:rsidR="00900944" w:rsidRPr="00A00FC6">
        <w:rPr>
          <w:color w:val="000000" w:themeColor="text1"/>
        </w:rPr>
        <w:t>) and resource (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Δ</m:t>
        </m:r>
        <m:r>
          <w:rPr>
            <w:rFonts w:ascii="Cambria Math" w:hAnsi="Cambria Math"/>
            <w:color w:val="000000" w:themeColor="text1"/>
          </w:rPr>
          <m:t>S</m:t>
        </m:r>
      </m:oMath>
      <w:r w:rsidR="00900944" w:rsidRPr="00A00FC6">
        <w:rPr>
          <w:color w:val="000000" w:themeColor="text1"/>
        </w:rPr>
        <w:t>) variability for mixtures of 25 species</w:t>
      </w:r>
      <w:r w:rsidR="00900944">
        <w:rPr>
          <w:color w:val="000000" w:themeColor="text1"/>
        </w:rPr>
        <w:t xml:space="preserve"> without dispersal</w:t>
      </w:r>
      <w:r w:rsidR="00900944" w:rsidRPr="00A00FC6">
        <w:rPr>
          <w:color w:val="000000" w:themeColor="text1"/>
        </w:rPr>
        <w:t>. Line colors indicate the scenario of resource supply distribution (Gradients – blue, Random locations –</w:t>
      </w:r>
      <w:r w:rsidR="00900944">
        <w:rPr>
          <w:color w:val="000000" w:themeColor="text1"/>
        </w:rPr>
        <w:t xml:space="preserve"> dashed</w:t>
      </w:r>
      <w:r w:rsidR="00900944" w:rsidRPr="00A00FC6">
        <w:rPr>
          <w:color w:val="000000" w:themeColor="text1"/>
        </w:rPr>
        <w:t xml:space="preserve"> red, Random supplies – green).</w:t>
      </w:r>
      <w:r w:rsidR="00900944">
        <w:rPr>
          <w:color w:val="000000" w:themeColor="text1"/>
        </w:rPr>
        <w:t xml:space="preserve"> </w:t>
      </w:r>
    </w:p>
    <w:p w:rsidR="00312D42" w:rsidRDefault="00312D42">
      <w:r>
        <w:br w:type="page"/>
      </w:r>
    </w:p>
    <w:p w:rsidR="00D5602C" w:rsidRDefault="00312D42" w:rsidP="00D5602C">
      <w:r w:rsidRPr="00312D42">
        <w:rPr>
          <w:noProof/>
        </w:rPr>
        <w:lastRenderedPageBreak/>
        <w:drawing>
          <wp:inline distT="0" distB="0" distL="0" distR="0">
            <wp:extent cx="5972810" cy="5076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42" w:rsidRDefault="00312D42" w:rsidP="00312D42">
      <w:r>
        <w:t xml:space="preserve">Fig. S6: </w:t>
      </w:r>
      <w:r w:rsidR="00900944" w:rsidRPr="00A00FC6">
        <w:rPr>
          <w:color w:val="000000" w:themeColor="text1"/>
        </w:rPr>
        <w:t>Local (cell-wise) and regional (grid-wise) biodiversity, measured by the inverse Simpson index, for different combinations of trait (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Δ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*</m:t>
            </m:r>
          </m:sup>
        </m:sSup>
      </m:oMath>
      <w:r w:rsidR="00900944" w:rsidRPr="00A00FC6">
        <w:rPr>
          <w:color w:val="000000" w:themeColor="text1"/>
        </w:rPr>
        <w:t>) and resource (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Δ</m:t>
        </m:r>
        <m:r>
          <w:rPr>
            <w:rFonts w:ascii="Cambria Math" w:hAnsi="Cambria Math"/>
            <w:color w:val="000000" w:themeColor="text1"/>
          </w:rPr>
          <m:t>S</m:t>
        </m:r>
      </m:oMath>
      <w:r w:rsidR="00900944" w:rsidRPr="00A00FC6">
        <w:rPr>
          <w:color w:val="000000" w:themeColor="text1"/>
        </w:rPr>
        <w:t>) variability, calculated for mixtures of 25 species</w:t>
      </w:r>
      <w:r w:rsidR="00900944">
        <w:rPr>
          <w:color w:val="000000" w:themeColor="text1"/>
        </w:rPr>
        <w:t xml:space="preserve"> without dispersal</w:t>
      </w:r>
      <w:r w:rsidR="00900944" w:rsidRPr="00A00FC6">
        <w:rPr>
          <w:color w:val="000000" w:themeColor="text1"/>
        </w:rPr>
        <w:t xml:space="preserve">. Line colors indicate the three scenarios of resource supply distribution (Gradients – blue, Random locations – </w:t>
      </w:r>
      <w:r w:rsidR="00900944">
        <w:rPr>
          <w:color w:val="000000" w:themeColor="text1"/>
        </w:rPr>
        <w:t xml:space="preserve">dashed </w:t>
      </w:r>
      <w:r w:rsidR="00900944" w:rsidRPr="00A00FC6">
        <w:rPr>
          <w:color w:val="000000" w:themeColor="text1"/>
        </w:rPr>
        <w:t>red, Random supplies – green).</w:t>
      </w:r>
    </w:p>
    <w:p w:rsidR="00312D42" w:rsidRDefault="00312D42" w:rsidP="00D5602C"/>
    <w:p w:rsidR="00D5602C" w:rsidRDefault="00D5602C">
      <w:r>
        <w:br w:type="page"/>
      </w:r>
    </w:p>
    <w:p w:rsidR="00D5602C" w:rsidRDefault="00D5602C"/>
    <w:p w:rsidR="00642CC6" w:rsidRDefault="00642CC6"/>
    <w:p w:rsidR="00D5602C" w:rsidRDefault="00FF0273" w:rsidP="00D5602C">
      <w:r w:rsidRPr="003339C6">
        <w:rPr>
          <w:rFonts w:ascii="Times New Roman" w:hAnsi="Times New Roman"/>
          <w:noProof/>
        </w:rPr>
        <w:drawing>
          <wp:inline distT="0" distB="0" distL="0" distR="0" wp14:anchorId="61031511" wp14:editId="4E4C1AA5">
            <wp:extent cx="5731510" cy="36684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C5" w:rsidRDefault="00FF0273" w:rsidP="00D5602C">
      <w:r>
        <w:t>Fig. S</w:t>
      </w:r>
      <w:r w:rsidR="002E7BBB">
        <w:t>7</w:t>
      </w:r>
      <w:r>
        <w:t xml:space="preserve">: </w:t>
      </w:r>
      <w:r w:rsidRPr="00A00FC6">
        <w:t>Influence of trait and environmental variability on biodiversity-productivity relationships</w:t>
      </w:r>
      <w:r>
        <w:t xml:space="preserve">, </w:t>
      </w:r>
      <w:r w:rsidRPr="00A00FC6">
        <w:rPr>
          <w:color w:val="000000" w:themeColor="text1"/>
        </w:rPr>
        <w:t>calculated for mixtures of 25 species</w:t>
      </w:r>
      <w:r>
        <w:rPr>
          <w:color w:val="000000" w:themeColor="text1"/>
        </w:rPr>
        <w:t xml:space="preserve"> without dispersal.</w:t>
      </w:r>
      <w:r>
        <w:t xml:space="preserve"> (a) N</w:t>
      </w:r>
      <w:r w:rsidRPr="00A00FC6">
        <w:t>et diversity effect, (b) complementarity effect, (c) selection effect, (d) normalized biomass, (e) average monoculture biomass, (f) average mixture biomass</w:t>
      </w:r>
      <w:r>
        <w:t>,</w:t>
      </w:r>
      <w:r w:rsidRPr="00A00FC6">
        <w:t xml:space="preserve"> (g) functional diversity (Rao’s entropy), (h) regional effective species number, (i) local effective species number. Results are shown </w:t>
      </w:r>
      <w:r w:rsidR="00A51953">
        <w:t xml:space="preserve">for </w:t>
      </w:r>
      <w:r w:rsidR="006F538E">
        <w:t>the Gradients scenario.</w:t>
      </w:r>
    </w:p>
    <w:p w:rsidR="004024C5" w:rsidRDefault="004024C5">
      <w:r>
        <w:br w:type="page"/>
      </w:r>
    </w:p>
    <w:p w:rsidR="00D5602C" w:rsidRDefault="004024C5" w:rsidP="00D5602C">
      <w:r w:rsidRPr="004024C5">
        <w:lastRenderedPageBreak/>
        <w:t xml:space="preserve"> </w:t>
      </w:r>
      <w:r w:rsidR="007401AC" w:rsidRPr="007401AC">
        <w:rPr>
          <w:noProof/>
        </w:rPr>
        <w:drawing>
          <wp:inline distT="0" distB="0" distL="0" distR="0" wp14:anchorId="613A610E" wp14:editId="17AA419C">
            <wp:extent cx="5819775" cy="33234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" r="7204"/>
                    <a:stretch/>
                  </pic:blipFill>
                  <pic:spPr bwMode="auto">
                    <a:xfrm>
                      <a:off x="0" y="0"/>
                      <a:ext cx="5840008" cy="33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A44" w:rsidRDefault="002A1F37">
      <w:pPr>
        <w:rPr>
          <w:color w:val="000000" w:themeColor="text1"/>
        </w:rPr>
      </w:pPr>
      <w:r>
        <w:t>Fig. S</w:t>
      </w:r>
      <w:r w:rsidR="00516A44">
        <w:t>8</w:t>
      </w:r>
      <w:r>
        <w:t xml:space="preserve">: </w:t>
      </w:r>
      <w:r w:rsidR="00E1658C">
        <w:t>R</w:t>
      </w:r>
      <w:r>
        <w:t>obustness</w:t>
      </w:r>
      <w:r w:rsidR="00D512BB">
        <w:t xml:space="preserve"> </w:t>
      </w:r>
      <w:r w:rsidR="00E1658C">
        <w:t xml:space="preserve">test </w:t>
      </w:r>
      <w:r w:rsidR="00D512BB">
        <w:t xml:space="preserve">with respect to model </w:t>
      </w:r>
      <w:r w:rsidR="00E1658C">
        <w:t>characteristics</w:t>
      </w:r>
      <w:r>
        <w:t xml:space="preserve">.  </w:t>
      </w:r>
      <w:r w:rsidR="00180277">
        <w:t xml:space="preserve">Although some components of the model are changed the results </w:t>
      </w:r>
      <w:r w:rsidR="00E1658C">
        <w:t>show similar patterns to</w:t>
      </w:r>
      <w:r w:rsidR="00180277">
        <w:t xml:space="preserve"> </w:t>
      </w:r>
      <w:r w:rsidR="00180277">
        <w:rPr>
          <w:color w:val="000000" w:themeColor="text1"/>
        </w:rPr>
        <w:t xml:space="preserve">Fig. 5 and Fig. S5. </w:t>
      </w:r>
      <w:r w:rsidR="00B8727C">
        <w:rPr>
          <w:color w:val="000000" w:themeColor="text1"/>
        </w:rPr>
        <w:t>Model m</w:t>
      </w:r>
      <w:r w:rsidR="00180277">
        <w:rPr>
          <w:color w:val="000000" w:themeColor="text1"/>
        </w:rPr>
        <w:t xml:space="preserve">odifications: </w:t>
      </w:r>
      <w:r w:rsidR="00E1658C">
        <w:rPr>
          <w:color w:val="000000" w:themeColor="text1"/>
        </w:rPr>
        <w:t>First, boundary conditions were changed from zero flux boundaries to periodic boundary conditions</w:t>
      </w:r>
      <w:r w:rsidR="00180277">
        <w:rPr>
          <w:color w:val="000000" w:themeColor="text1"/>
        </w:rPr>
        <w:t>.</w:t>
      </w:r>
      <w:r w:rsidR="00D512BB">
        <w:rPr>
          <w:color w:val="000000" w:themeColor="text1"/>
        </w:rPr>
        <w:t xml:space="preserve"> </w:t>
      </w:r>
      <w:r w:rsidR="00180277">
        <w:rPr>
          <w:color w:val="000000" w:themeColor="text1"/>
        </w:rPr>
        <w:t>Second, f</w:t>
      </w:r>
      <w:r w:rsidR="00516A44">
        <w:rPr>
          <w:color w:val="000000" w:themeColor="text1"/>
        </w:rPr>
        <w:t xml:space="preserve">or each combination of </w:t>
      </w:r>
      <m:oMath>
        <m:r>
          <m:rPr>
            <m:sty m:val="p"/>
          </m:rPr>
          <w:rPr>
            <w:rFonts w:ascii="Cambria Math" w:hAnsi="Cambria Math" w:hint="eastAsia"/>
            <w:color w:val="000000" w:themeColor="text1"/>
          </w:rPr>
          <m:t>Δ</m:t>
        </m:r>
        <m:r>
          <w:rPr>
            <w:rFonts w:ascii="Cambria Math" w:hAnsi="Cambria Math"/>
            <w:color w:val="000000" w:themeColor="text1"/>
          </w:rPr>
          <m:t>S</m:t>
        </m:r>
      </m:oMath>
      <w:r w:rsidR="00516A44">
        <w:rPr>
          <w:color w:val="000000" w:themeColor="text1"/>
        </w:rPr>
        <w:t xml:space="preserve"> and </w:t>
      </w:r>
      <m:oMath>
        <m:r>
          <m:rPr>
            <m:sty m:val="p"/>
          </m:rPr>
          <w:rPr>
            <w:rFonts w:ascii="Cambria Math" w:hAnsi="Cambria Math" w:hint="eastAsia"/>
            <w:color w:val="000000" w:themeColor="text1"/>
          </w:rPr>
          <m:t>Δ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*</m:t>
            </m:r>
          </m:sup>
        </m:sSup>
      </m:oMath>
      <w:r w:rsidR="0054624F">
        <w:rPr>
          <w:color w:val="000000" w:themeColor="text1"/>
        </w:rPr>
        <w:t xml:space="preserve">, the </w:t>
      </w:r>
      <w:r w:rsidR="00516A44">
        <w:rPr>
          <w:color w:val="000000" w:themeColor="text1"/>
        </w:rPr>
        <w:t>maximal growth rates are random numbers uniformly distributed in the interval [1, 2]</w:t>
      </w:r>
      <w:r w:rsidR="00180277">
        <w:rPr>
          <w:color w:val="000000" w:themeColor="text1"/>
        </w:rPr>
        <w:t xml:space="preserve"> </w:t>
      </w:r>
      <w:r w:rsidR="00E1658C">
        <w:rPr>
          <w:color w:val="000000" w:themeColor="text1"/>
        </w:rPr>
        <w:t>as opposed to</w:t>
      </w:r>
      <w:r w:rsidR="00180277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max</m:t>
            </m:r>
          </m:sub>
        </m:sSub>
        <m:r>
          <w:rPr>
            <w:rFonts w:ascii="Cambria Math" w:hAnsi="Cambria Math"/>
            <w:color w:val="000000" w:themeColor="text1"/>
          </w:rPr>
          <m:t>=1</m:t>
        </m:r>
      </m:oMath>
      <w:r w:rsidR="00180277">
        <w:rPr>
          <w:color w:val="000000" w:themeColor="text1"/>
        </w:rPr>
        <w:t xml:space="preserve"> for all species</w:t>
      </w:r>
      <w:r w:rsidR="00516A44">
        <w:rPr>
          <w:color w:val="000000" w:themeColor="text1"/>
        </w:rPr>
        <w:t xml:space="preserve">. </w:t>
      </w:r>
      <w:r w:rsidR="00180277">
        <w:rPr>
          <w:color w:val="000000" w:themeColor="text1"/>
        </w:rPr>
        <w:t>Third, the grid size is 50x20,</w:t>
      </w:r>
      <w:r w:rsidR="00633B9C">
        <w:rPr>
          <w:color w:val="000000" w:themeColor="text1"/>
        </w:rPr>
        <w:t xml:space="preserve"> and</w:t>
      </w:r>
      <w:r w:rsidR="00180277">
        <w:rPr>
          <w:color w:val="000000" w:themeColor="text1"/>
        </w:rPr>
        <w:t xml:space="preserve"> the initial pool contains 40 species (in the main text</w:t>
      </w:r>
      <w:r w:rsidR="000F1F41">
        <w:rPr>
          <w:color w:val="000000" w:themeColor="text1"/>
        </w:rPr>
        <w:t>,</w:t>
      </w:r>
      <w:r w:rsidR="00180277">
        <w:rPr>
          <w:color w:val="000000" w:themeColor="text1"/>
        </w:rPr>
        <w:t xml:space="preserve"> the grid</w:t>
      </w:r>
      <w:r w:rsidR="00E1658C">
        <w:rPr>
          <w:color w:val="000000" w:themeColor="text1"/>
        </w:rPr>
        <w:t xml:space="preserve"> size</w:t>
      </w:r>
      <w:r w:rsidR="00180277">
        <w:rPr>
          <w:color w:val="000000" w:themeColor="text1"/>
        </w:rPr>
        <w:t xml:space="preserve"> is 20x20 and the initial pool contain</w:t>
      </w:r>
      <w:r w:rsidR="00633B9C">
        <w:rPr>
          <w:color w:val="000000" w:themeColor="text1"/>
        </w:rPr>
        <w:t>s</w:t>
      </w:r>
      <w:r w:rsidR="00180277">
        <w:rPr>
          <w:color w:val="000000" w:themeColor="text1"/>
        </w:rPr>
        <w:t xml:space="preserve"> 30 species). </w:t>
      </w:r>
      <w:r w:rsidR="002E20B6">
        <w:rPr>
          <w:color w:val="000000" w:themeColor="text1"/>
        </w:rPr>
        <w:t xml:space="preserve">The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*</m:t>
            </m:r>
          </m:sup>
        </m:sSup>
      </m:oMath>
      <w:r w:rsidR="002E20B6">
        <w:rPr>
          <w:color w:val="000000" w:themeColor="text1"/>
        </w:rPr>
        <w:t xml:space="preserve"> values are located on the same trade</w:t>
      </w:r>
      <w:r w:rsidR="00EE4925">
        <w:rPr>
          <w:color w:val="000000" w:themeColor="text1"/>
        </w:rPr>
        <w:t>-</w:t>
      </w:r>
      <w:r w:rsidR="002E20B6">
        <w:rPr>
          <w:color w:val="000000" w:themeColor="text1"/>
        </w:rPr>
        <w:t xml:space="preserve">off line, and the </w:t>
      </w:r>
      <w:r w:rsidR="00D512BB">
        <w:rPr>
          <w:color w:val="000000" w:themeColor="text1"/>
        </w:rPr>
        <w:t xml:space="preserve">half-saturation constants </w:t>
      </w:r>
      <w:r w:rsidR="00A71DBC">
        <w:rPr>
          <w:color w:val="000000" w:themeColor="text1"/>
        </w:rPr>
        <w:t>are</w:t>
      </w:r>
      <w:r w:rsidR="00D512BB">
        <w:rPr>
          <w:color w:val="000000" w:themeColor="text1"/>
        </w:rPr>
        <w:t xml:space="preserve"> calculated according to Eq. (5)</w:t>
      </w:r>
      <w:r w:rsidR="00F745FD">
        <w:rPr>
          <w:color w:val="000000" w:themeColor="text1"/>
        </w:rPr>
        <w:t xml:space="preserve"> for </w:t>
      </w:r>
      <w:r w:rsidR="00C43FE2">
        <w:rPr>
          <w:color w:val="000000" w:themeColor="text1"/>
        </w:rPr>
        <w:t xml:space="preserve">every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max,i</m:t>
            </m:r>
          </m:sub>
        </m:sSub>
      </m:oMath>
      <w:r w:rsidR="00516A44">
        <w:rPr>
          <w:color w:val="000000" w:themeColor="text1"/>
        </w:rPr>
        <w:t>.</w:t>
      </w:r>
    </w:p>
    <w:p w:rsidR="007401AC" w:rsidRDefault="007401AC">
      <w:pPr>
        <w:rPr>
          <w:noProof/>
          <w:lang w:val="de-DE" w:eastAsia="de-DE"/>
        </w:rPr>
      </w:pPr>
      <w:r>
        <w:rPr>
          <w:noProof/>
          <w:lang w:val="de-DE" w:eastAsia="de-DE"/>
        </w:rPr>
        <w:br w:type="page"/>
      </w:r>
    </w:p>
    <w:p w:rsidR="00D5602C" w:rsidRDefault="007401AC">
      <w:r w:rsidRPr="007401AC">
        <w:rPr>
          <w:noProof/>
        </w:rPr>
        <w:lastRenderedPageBreak/>
        <w:drawing>
          <wp:inline distT="0" distB="0" distL="0" distR="0">
            <wp:extent cx="4483813" cy="35860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40" cy="35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44" w:rsidRDefault="00516A44">
      <w:r>
        <w:t xml:space="preserve">Fig. S9: </w:t>
      </w:r>
      <w:r w:rsidR="00E1658C">
        <w:t>R</w:t>
      </w:r>
      <w:r>
        <w:t xml:space="preserve">obustness </w:t>
      </w:r>
      <w:r w:rsidR="00E1658C">
        <w:t xml:space="preserve">test </w:t>
      </w:r>
      <w:r>
        <w:t xml:space="preserve">with respect to model </w:t>
      </w:r>
      <w:r w:rsidR="00E1658C">
        <w:t>characteristics</w:t>
      </w:r>
      <w:r>
        <w:t xml:space="preserve">.  </w:t>
      </w:r>
      <w:r w:rsidR="00E1658C">
        <w:t xml:space="preserve">Regional and local biodiversity for different </w:t>
      </w:r>
      <w:r w:rsidR="007401AC">
        <w:t>combinations</w:t>
      </w:r>
      <w:r w:rsidR="00E1658C">
        <w:t xml:space="preserve"> of trait and resource variability (compare Fig. 6) for a changed model setup as described in Fig. S8</w:t>
      </w:r>
      <w:r>
        <w:rPr>
          <w:color w:val="000000" w:themeColor="text1"/>
        </w:rPr>
        <w:t>.</w:t>
      </w:r>
      <w:r w:rsidR="00E81AF7">
        <w:rPr>
          <w:color w:val="000000" w:themeColor="text1"/>
        </w:rPr>
        <w:t xml:space="preserve"> The obtained curves follow similar patterns as in Fig. 6. </w:t>
      </w:r>
    </w:p>
    <w:sectPr w:rsidR="00516A44" w:rsidSect="00F8119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C3"/>
    <w:rsid w:val="00023BAA"/>
    <w:rsid w:val="00056F09"/>
    <w:rsid w:val="00073BA1"/>
    <w:rsid w:val="00090460"/>
    <w:rsid w:val="00096638"/>
    <w:rsid w:val="000A6683"/>
    <w:rsid w:val="000A7F75"/>
    <w:rsid w:val="000F1F41"/>
    <w:rsid w:val="001018EB"/>
    <w:rsid w:val="00105C2F"/>
    <w:rsid w:val="00131707"/>
    <w:rsid w:val="00133787"/>
    <w:rsid w:val="00146948"/>
    <w:rsid w:val="00180277"/>
    <w:rsid w:val="00194BF6"/>
    <w:rsid w:val="001C4570"/>
    <w:rsid w:val="00211D9C"/>
    <w:rsid w:val="00227E24"/>
    <w:rsid w:val="00247B1B"/>
    <w:rsid w:val="00251197"/>
    <w:rsid w:val="00257293"/>
    <w:rsid w:val="00261371"/>
    <w:rsid w:val="00277AEE"/>
    <w:rsid w:val="00283960"/>
    <w:rsid w:val="002A1F37"/>
    <w:rsid w:val="002C0E28"/>
    <w:rsid w:val="002E20B6"/>
    <w:rsid w:val="002E7BBB"/>
    <w:rsid w:val="002F5319"/>
    <w:rsid w:val="0030619B"/>
    <w:rsid w:val="00312D42"/>
    <w:rsid w:val="0033111C"/>
    <w:rsid w:val="00331897"/>
    <w:rsid w:val="00336DD6"/>
    <w:rsid w:val="003859E3"/>
    <w:rsid w:val="003B1063"/>
    <w:rsid w:val="003C65AC"/>
    <w:rsid w:val="003D0F2B"/>
    <w:rsid w:val="004024C5"/>
    <w:rsid w:val="00416227"/>
    <w:rsid w:val="0043195B"/>
    <w:rsid w:val="0043249E"/>
    <w:rsid w:val="004524EC"/>
    <w:rsid w:val="0045309D"/>
    <w:rsid w:val="00453420"/>
    <w:rsid w:val="004828C5"/>
    <w:rsid w:val="004A4EE7"/>
    <w:rsid w:val="004B2477"/>
    <w:rsid w:val="004C36E4"/>
    <w:rsid w:val="004C5AD8"/>
    <w:rsid w:val="004F03FE"/>
    <w:rsid w:val="004F615A"/>
    <w:rsid w:val="00515D1B"/>
    <w:rsid w:val="00516A44"/>
    <w:rsid w:val="00542875"/>
    <w:rsid w:val="0054624F"/>
    <w:rsid w:val="00553A56"/>
    <w:rsid w:val="00570AB5"/>
    <w:rsid w:val="00571712"/>
    <w:rsid w:val="00594AB4"/>
    <w:rsid w:val="00594E48"/>
    <w:rsid w:val="005B55C1"/>
    <w:rsid w:val="005E60A7"/>
    <w:rsid w:val="00627B14"/>
    <w:rsid w:val="00633B9C"/>
    <w:rsid w:val="006357C3"/>
    <w:rsid w:val="00642CC6"/>
    <w:rsid w:val="006D2AC8"/>
    <w:rsid w:val="006F0163"/>
    <w:rsid w:val="006F538E"/>
    <w:rsid w:val="007146EC"/>
    <w:rsid w:val="007348C9"/>
    <w:rsid w:val="007401AC"/>
    <w:rsid w:val="00760995"/>
    <w:rsid w:val="00773A16"/>
    <w:rsid w:val="00781DC7"/>
    <w:rsid w:val="00782B3A"/>
    <w:rsid w:val="0078354D"/>
    <w:rsid w:val="00783635"/>
    <w:rsid w:val="00790756"/>
    <w:rsid w:val="007B77C6"/>
    <w:rsid w:val="007C27CB"/>
    <w:rsid w:val="007E1B1D"/>
    <w:rsid w:val="007E30CD"/>
    <w:rsid w:val="007F1C04"/>
    <w:rsid w:val="0081528B"/>
    <w:rsid w:val="00846137"/>
    <w:rsid w:val="008675F7"/>
    <w:rsid w:val="0088363F"/>
    <w:rsid w:val="008A2A15"/>
    <w:rsid w:val="008A7F6E"/>
    <w:rsid w:val="008B08E1"/>
    <w:rsid w:val="008C226A"/>
    <w:rsid w:val="008C5A4E"/>
    <w:rsid w:val="008D2F96"/>
    <w:rsid w:val="00900944"/>
    <w:rsid w:val="00940ABC"/>
    <w:rsid w:val="009516D0"/>
    <w:rsid w:val="009618D7"/>
    <w:rsid w:val="00971B81"/>
    <w:rsid w:val="009852A3"/>
    <w:rsid w:val="00990C09"/>
    <w:rsid w:val="009B003F"/>
    <w:rsid w:val="009C5440"/>
    <w:rsid w:val="009F076D"/>
    <w:rsid w:val="009F1DA1"/>
    <w:rsid w:val="009F4C2C"/>
    <w:rsid w:val="009F5DB8"/>
    <w:rsid w:val="009F67A9"/>
    <w:rsid w:val="00A15DDF"/>
    <w:rsid w:val="00A35276"/>
    <w:rsid w:val="00A409B5"/>
    <w:rsid w:val="00A51953"/>
    <w:rsid w:val="00A51F48"/>
    <w:rsid w:val="00A57821"/>
    <w:rsid w:val="00A64D29"/>
    <w:rsid w:val="00A67AD1"/>
    <w:rsid w:val="00A713CE"/>
    <w:rsid w:val="00A71DBC"/>
    <w:rsid w:val="00AC49A3"/>
    <w:rsid w:val="00AE66D0"/>
    <w:rsid w:val="00AF5E07"/>
    <w:rsid w:val="00B20DD4"/>
    <w:rsid w:val="00B41CB3"/>
    <w:rsid w:val="00B739BB"/>
    <w:rsid w:val="00B8727C"/>
    <w:rsid w:val="00B878A3"/>
    <w:rsid w:val="00B90A72"/>
    <w:rsid w:val="00B933F2"/>
    <w:rsid w:val="00BA0C02"/>
    <w:rsid w:val="00BE14A4"/>
    <w:rsid w:val="00BF7373"/>
    <w:rsid w:val="00C01352"/>
    <w:rsid w:val="00C0353E"/>
    <w:rsid w:val="00C05A86"/>
    <w:rsid w:val="00C43FE2"/>
    <w:rsid w:val="00C62B39"/>
    <w:rsid w:val="00C775FA"/>
    <w:rsid w:val="00CC1C03"/>
    <w:rsid w:val="00CC60FE"/>
    <w:rsid w:val="00CF769E"/>
    <w:rsid w:val="00D0376C"/>
    <w:rsid w:val="00D14AD4"/>
    <w:rsid w:val="00D472EF"/>
    <w:rsid w:val="00D512BB"/>
    <w:rsid w:val="00D51934"/>
    <w:rsid w:val="00D5602C"/>
    <w:rsid w:val="00D6232E"/>
    <w:rsid w:val="00D77E68"/>
    <w:rsid w:val="00D846B3"/>
    <w:rsid w:val="00D917D8"/>
    <w:rsid w:val="00DB4D8B"/>
    <w:rsid w:val="00DB632A"/>
    <w:rsid w:val="00DD5B1B"/>
    <w:rsid w:val="00DE0962"/>
    <w:rsid w:val="00DE34C6"/>
    <w:rsid w:val="00DF5F86"/>
    <w:rsid w:val="00DF64C7"/>
    <w:rsid w:val="00E1658C"/>
    <w:rsid w:val="00E408A5"/>
    <w:rsid w:val="00E72B30"/>
    <w:rsid w:val="00E757C4"/>
    <w:rsid w:val="00E80159"/>
    <w:rsid w:val="00E81AF7"/>
    <w:rsid w:val="00EC5499"/>
    <w:rsid w:val="00EC561E"/>
    <w:rsid w:val="00EC75CC"/>
    <w:rsid w:val="00EE4925"/>
    <w:rsid w:val="00F17681"/>
    <w:rsid w:val="00F2053B"/>
    <w:rsid w:val="00F34548"/>
    <w:rsid w:val="00F55A7E"/>
    <w:rsid w:val="00F745FD"/>
    <w:rsid w:val="00F8119B"/>
    <w:rsid w:val="00FA002D"/>
    <w:rsid w:val="00FA1EEB"/>
    <w:rsid w:val="00FF0273"/>
    <w:rsid w:val="00FF40A1"/>
    <w:rsid w:val="00FF42C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EAA36-E963-46DA-BD80-8968559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A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4A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D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99"/>
    <w:rsid w:val="003D0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3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jane bain</cp:lastModifiedBy>
  <cp:revision>3</cp:revision>
  <cp:lastPrinted>2015-03-26T09:23:00Z</cp:lastPrinted>
  <dcterms:created xsi:type="dcterms:W3CDTF">2016-05-19T14:34:00Z</dcterms:created>
  <dcterms:modified xsi:type="dcterms:W3CDTF">2016-05-19T14:37:00Z</dcterms:modified>
</cp:coreProperties>
</file>